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6C895" w14:textId="36EDE640" w:rsidR="00793F1D" w:rsidRDefault="00AD6347">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Прилог 7.3. </w:t>
      </w:r>
      <w:r w:rsidRPr="00AD6347">
        <w:rPr>
          <w:rFonts w:ascii="Times New Roman" w:hAnsi="Times New Roman" w:cs="Times New Roman"/>
          <w:sz w:val="24"/>
          <w:szCs w:val="24"/>
          <w:lang w:val="sr-Cyrl-RS"/>
        </w:rPr>
        <w:t>Правилнику Универзитета у Београду о студентском вредновању педагошког рада наставника</w:t>
      </w:r>
    </w:p>
    <w:p w14:paraId="5FA6EE01" w14:textId="22058484" w:rsidR="00AD6347" w:rsidRDefault="00AD6347">
      <w:pPr>
        <w:rPr>
          <w:rFonts w:ascii="Times New Roman" w:hAnsi="Times New Roman" w:cs="Times New Roman"/>
          <w:sz w:val="24"/>
          <w:szCs w:val="24"/>
          <w:lang w:val="sr-Cyrl-RS"/>
        </w:rPr>
      </w:pPr>
    </w:p>
    <w:p w14:paraId="48B981DC" w14:textId="77777777" w:rsidR="00AD6347" w:rsidRDefault="00AD6347">
      <w:pPr>
        <w:rPr>
          <w:rFonts w:ascii="Times New Roman" w:hAnsi="Times New Roman" w:cs="Times New Roman"/>
          <w:sz w:val="24"/>
          <w:szCs w:val="24"/>
          <w:lang w:val="sr-Cyrl-RS"/>
        </w:rPr>
      </w:pPr>
    </w:p>
    <w:p w14:paraId="0237F203"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ru-RU" w:eastAsia="sr-Latn-CS"/>
        </w:rPr>
      </w:pPr>
      <w:r w:rsidRPr="00AD6347">
        <w:rPr>
          <w:rFonts w:ascii="Times New Roman" w:eastAsia="Times New Roman" w:hAnsi="Times New Roman" w:cs="Times New Roman"/>
          <w:noProof/>
          <w:sz w:val="24"/>
          <w:szCs w:val="24"/>
          <w:lang w:val="sr-Cyrl-CS" w:eastAsia="sr-Latn-CS"/>
        </w:rPr>
        <w:t>УНИВЕРЗИТЕТ У БЕОГРАДУ</w:t>
      </w:r>
    </w:p>
    <w:p w14:paraId="374C1CDB"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ru-RU" w:eastAsia="sr-Latn-CS"/>
        </w:rPr>
      </w:pPr>
      <w:r w:rsidRPr="00AD6347">
        <w:rPr>
          <w:rFonts w:ascii="Times New Roman" w:eastAsia="Times New Roman" w:hAnsi="Times New Roman" w:cs="Times New Roman"/>
          <w:noProof/>
          <w:sz w:val="24"/>
          <w:szCs w:val="24"/>
          <w:lang w:val="sr-Cyrl-CS" w:eastAsia="sr-Latn-CS"/>
        </w:rPr>
        <w:t>ФИЛОЗОФСКИ ФАКУЛТЕТ</w:t>
      </w:r>
      <w:r w:rsidRPr="00AD6347">
        <w:rPr>
          <w:rFonts w:ascii="Times New Roman" w:eastAsia="Times New Roman" w:hAnsi="Times New Roman" w:cs="Times New Roman"/>
          <w:noProof/>
          <w:sz w:val="24"/>
          <w:szCs w:val="24"/>
          <w:lang w:val="sr-Cyrl-CS" w:eastAsia="sr-Latn-CS"/>
        </w:rPr>
        <w:tab/>
      </w:r>
    </w:p>
    <w:p w14:paraId="7DFBC723"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Latn-CS" w:eastAsia="sr-Latn-CS"/>
        </w:rPr>
      </w:pPr>
      <w:r w:rsidRPr="00AD6347">
        <w:rPr>
          <w:rFonts w:ascii="Times New Roman" w:eastAsia="Times New Roman" w:hAnsi="Times New Roman" w:cs="Times New Roman"/>
          <w:noProof/>
          <w:sz w:val="24"/>
          <w:szCs w:val="24"/>
          <w:lang w:val="ru-RU" w:eastAsia="sr-Latn-CS"/>
        </w:rPr>
        <w:t>05</w:t>
      </w:r>
      <w:r w:rsidRPr="00AD6347">
        <w:rPr>
          <w:rFonts w:ascii="Times New Roman" w:eastAsia="Times New Roman" w:hAnsi="Times New Roman" w:cs="Times New Roman"/>
          <w:noProof/>
          <w:sz w:val="24"/>
          <w:szCs w:val="24"/>
          <w:lang w:val="sr-Cyrl-CS" w:eastAsia="sr-Latn-CS"/>
        </w:rPr>
        <w:t>/</w:t>
      </w:r>
      <w:r w:rsidRPr="00AD6347">
        <w:rPr>
          <w:rFonts w:ascii="Times New Roman" w:eastAsia="Times New Roman" w:hAnsi="Times New Roman" w:cs="Times New Roman"/>
          <w:noProof/>
          <w:sz w:val="24"/>
          <w:szCs w:val="24"/>
          <w:lang w:val="ru-RU" w:eastAsia="sr-Latn-CS"/>
        </w:rPr>
        <w:t>4</w:t>
      </w:r>
      <w:r w:rsidRPr="00AD6347">
        <w:rPr>
          <w:rFonts w:ascii="Times New Roman" w:eastAsia="Times New Roman" w:hAnsi="Times New Roman" w:cs="Times New Roman"/>
          <w:noProof/>
          <w:sz w:val="24"/>
          <w:szCs w:val="24"/>
          <w:lang w:val="sr-Cyrl-CS" w:eastAsia="sr-Latn-CS"/>
        </w:rPr>
        <w:t>-</w:t>
      </w:r>
      <w:r w:rsidRPr="00AD6347">
        <w:rPr>
          <w:rFonts w:ascii="Times New Roman" w:eastAsia="Times New Roman" w:hAnsi="Times New Roman" w:cs="Times New Roman"/>
          <w:noProof/>
          <w:sz w:val="24"/>
          <w:szCs w:val="24"/>
          <w:lang w:val="ru-RU" w:eastAsia="sr-Latn-CS"/>
        </w:rPr>
        <w:t xml:space="preserve">02 </w:t>
      </w:r>
      <w:r w:rsidRPr="00AD6347">
        <w:rPr>
          <w:rFonts w:ascii="Times New Roman" w:eastAsia="Times New Roman" w:hAnsi="Times New Roman" w:cs="Times New Roman"/>
          <w:noProof/>
          <w:sz w:val="24"/>
          <w:szCs w:val="24"/>
          <w:lang w:val="sr-Cyrl-CS" w:eastAsia="sr-Latn-CS"/>
        </w:rPr>
        <w:t xml:space="preserve">бр. </w:t>
      </w:r>
      <w:r w:rsidRPr="00AD6347">
        <w:rPr>
          <w:rFonts w:ascii="Times New Roman" w:eastAsia="Times New Roman" w:hAnsi="Times New Roman" w:cs="Times New Roman"/>
          <w:noProof/>
          <w:sz w:val="24"/>
          <w:szCs w:val="24"/>
          <w:lang w:val="ru-RU" w:eastAsia="sr-Latn-CS"/>
        </w:rPr>
        <w:t>635</w:t>
      </w:r>
      <w:r w:rsidRPr="00AD6347">
        <w:rPr>
          <w:rFonts w:ascii="Times New Roman" w:eastAsia="Times New Roman" w:hAnsi="Times New Roman" w:cs="Times New Roman"/>
          <w:noProof/>
          <w:sz w:val="24"/>
          <w:szCs w:val="24"/>
          <w:lang w:val="sr-Latn-CS" w:eastAsia="sr-Latn-CS"/>
        </w:rPr>
        <w:t>/1-V</w:t>
      </w:r>
    </w:p>
    <w:p w14:paraId="3F1388CB"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Latn-CS" w:eastAsia="sr-Latn-CS"/>
        </w:rPr>
        <w:t>24</w:t>
      </w:r>
      <w:r w:rsidRPr="00AD6347">
        <w:rPr>
          <w:rFonts w:ascii="Times New Roman" w:eastAsia="Times New Roman" w:hAnsi="Times New Roman" w:cs="Times New Roman"/>
          <w:noProof/>
          <w:sz w:val="24"/>
          <w:szCs w:val="24"/>
          <w:lang w:val="sr-Cyrl-CS" w:eastAsia="sr-Latn-CS"/>
        </w:rPr>
        <w:t>.05.2007. године</w:t>
      </w:r>
    </w:p>
    <w:p w14:paraId="6B73AFFB"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50332106"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5486D24C"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xml:space="preserve">   </w:t>
      </w:r>
      <w:r w:rsidRPr="00AD6347">
        <w:rPr>
          <w:rFonts w:ascii="Times New Roman" w:eastAsia="Times New Roman" w:hAnsi="Times New Roman" w:cs="Times New Roman"/>
          <w:noProof/>
          <w:sz w:val="24"/>
          <w:szCs w:val="24"/>
          <w:lang w:val="sr-Cyrl-CS" w:eastAsia="sr-Latn-CS"/>
        </w:rPr>
        <w:tab/>
        <w:t>На основу члана 236</w:t>
      </w:r>
      <w:r w:rsidRPr="00AD6347">
        <w:rPr>
          <w:rFonts w:ascii="Times New Roman" w:eastAsia="Times New Roman" w:hAnsi="Times New Roman" w:cs="Times New Roman"/>
          <w:noProof/>
          <w:sz w:val="24"/>
          <w:szCs w:val="24"/>
          <w:lang w:val="sr-Latn-CS" w:eastAsia="sr-Latn-CS"/>
        </w:rPr>
        <w:t>.</w:t>
      </w:r>
      <w:r w:rsidRPr="00AD6347">
        <w:rPr>
          <w:rFonts w:ascii="Times New Roman" w:eastAsia="Times New Roman" w:hAnsi="Times New Roman" w:cs="Times New Roman"/>
          <w:noProof/>
          <w:sz w:val="24"/>
          <w:szCs w:val="24"/>
          <w:lang w:val="sr-Cyrl-CS" w:eastAsia="sr-Latn-CS"/>
        </w:rPr>
        <w:t xml:space="preserve"> став 2. Статута Универзитета у Београду – Филозофског факултета, а у вези са члановима 211-213. Статута  Наставно-научно веће је на својој </w:t>
      </w:r>
      <w:r w:rsidRPr="00AD6347">
        <w:rPr>
          <w:rFonts w:ascii="Times New Roman" w:eastAsia="Times New Roman" w:hAnsi="Times New Roman" w:cs="Times New Roman"/>
          <w:noProof/>
          <w:sz w:val="24"/>
          <w:szCs w:val="24"/>
          <w:lang w:val="sr-Latn-CS" w:eastAsia="sr-Latn-CS"/>
        </w:rPr>
        <w:t>VII</w:t>
      </w:r>
      <w:r w:rsidRPr="00AD6347">
        <w:rPr>
          <w:rFonts w:ascii="Times New Roman" w:eastAsia="Times New Roman" w:hAnsi="Times New Roman" w:cs="Times New Roman"/>
          <w:noProof/>
          <w:sz w:val="24"/>
          <w:szCs w:val="24"/>
          <w:lang w:val="sr-Cyrl-CS" w:eastAsia="sr-Latn-CS"/>
        </w:rPr>
        <w:t xml:space="preserve"> редовној седници одржаној </w:t>
      </w:r>
      <w:r w:rsidRPr="00AD6347">
        <w:rPr>
          <w:rFonts w:ascii="Times New Roman" w:eastAsia="Times New Roman" w:hAnsi="Times New Roman" w:cs="Times New Roman"/>
          <w:noProof/>
          <w:sz w:val="24"/>
          <w:szCs w:val="24"/>
          <w:lang w:val="sr-Latn-CS" w:eastAsia="sr-Latn-CS"/>
        </w:rPr>
        <w:t>24</w:t>
      </w:r>
      <w:r w:rsidRPr="00AD6347">
        <w:rPr>
          <w:rFonts w:ascii="Times New Roman" w:eastAsia="Times New Roman" w:hAnsi="Times New Roman" w:cs="Times New Roman"/>
          <w:noProof/>
          <w:sz w:val="24"/>
          <w:szCs w:val="24"/>
          <w:lang w:val="sr-Cyrl-CS" w:eastAsia="sr-Latn-CS"/>
        </w:rPr>
        <w:t>.0</w:t>
      </w:r>
      <w:r w:rsidRPr="00AD6347">
        <w:rPr>
          <w:rFonts w:ascii="Times New Roman" w:eastAsia="Times New Roman" w:hAnsi="Times New Roman" w:cs="Times New Roman"/>
          <w:noProof/>
          <w:sz w:val="24"/>
          <w:szCs w:val="24"/>
          <w:lang w:val="sr-Latn-CS" w:eastAsia="sr-Latn-CS"/>
        </w:rPr>
        <w:t>5</w:t>
      </w:r>
      <w:r w:rsidRPr="00AD6347">
        <w:rPr>
          <w:rFonts w:ascii="Times New Roman" w:eastAsia="Times New Roman" w:hAnsi="Times New Roman" w:cs="Times New Roman"/>
          <w:noProof/>
          <w:sz w:val="24"/>
          <w:szCs w:val="24"/>
          <w:lang w:val="sr-Cyrl-CS" w:eastAsia="sr-Latn-CS"/>
        </w:rPr>
        <w:t xml:space="preserve">.2007. године донело,  </w:t>
      </w:r>
    </w:p>
    <w:p w14:paraId="533E95C2"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23041FC0"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7042CE48"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4DF08F93"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20C0D824" w14:textId="77777777" w:rsidR="00AD6347" w:rsidRPr="00AD6347" w:rsidRDefault="00AD6347" w:rsidP="00AD6347">
      <w:pPr>
        <w:spacing w:after="0" w:line="240" w:lineRule="auto"/>
        <w:jc w:val="center"/>
        <w:rPr>
          <w:rFonts w:ascii="Times New Roman" w:eastAsia="Times New Roman" w:hAnsi="Times New Roman" w:cs="Times New Roman"/>
          <w:b/>
          <w:noProof/>
          <w:sz w:val="24"/>
          <w:szCs w:val="24"/>
          <w:lang w:val="sr-Cyrl-CS" w:eastAsia="sr-Latn-CS"/>
        </w:rPr>
      </w:pPr>
      <w:r w:rsidRPr="00AD6347">
        <w:rPr>
          <w:rFonts w:ascii="Times New Roman" w:eastAsia="Times New Roman" w:hAnsi="Times New Roman" w:cs="Times New Roman"/>
          <w:b/>
          <w:noProof/>
          <w:sz w:val="24"/>
          <w:szCs w:val="24"/>
          <w:lang w:val="sr-Cyrl-CS" w:eastAsia="sr-Latn-CS"/>
        </w:rPr>
        <w:t>ПРАВИЛНИК</w:t>
      </w:r>
    </w:p>
    <w:p w14:paraId="21309979" w14:textId="77777777" w:rsidR="00AD6347" w:rsidRPr="00AD6347" w:rsidRDefault="00AD6347" w:rsidP="00AD6347">
      <w:pPr>
        <w:spacing w:after="0" w:line="240" w:lineRule="auto"/>
        <w:jc w:val="center"/>
        <w:rPr>
          <w:rFonts w:ascii="Times New Roman" w:eastAsia="Times New Roman" w:hAnsi="Times New Roman" w:cs="Times New Roman"/>
          <w:b/>
          <w:noProof/>
          <w:sz w:val="24"/>
          <w:szCs w:val="24"/>
          <w:lang w:val="sr-Cyrl-CS" w:eastAsia="sr-Latn-CS"/>
        </w:rPr>
      </w:pPr>
      <w:r w:rsidRPr="00AD6347">
        <w:rPr>
          <w:rFonts w:ascii="Times New Roman" w:eastAsia="Times New Roman" w:hAnsi="Times New Roman" w:cs="Times New Roman"/>
          <w:b/>
          <w:noProof/>
          <w:sz w:val="24"/>
          <w:szCs w:val="24"/>
          <w:lang w:val="sr-Cyrl-CS" w:eastAsia="sr-Latn-CS"/>
        </w:rPr>
        <w:t>О СТУДЕНТСКОМ ВРЕДНОВАЊУ НАСТАВЕ И ПЕДАГОШКОГ Р</w:t>
      </w:r>
      <w:r w:rsidRPr="00AD6347">
        <w:rPr>
          <w:rFonts w:ascii="Times New Roman" w:eastAsia="Times New Roman" w:hAnsi="Times New Roman" w:cs="Times New Roman"/>
          <w:b/>
          <w:noProof/>
          <w:sz w:val="24"/>
          <w:szCs w:val="24"/>
          <w:lang w:eastAsia="sr-Latn-CS"/>
        </w:rPr>
        <w:t>A</w:t>
      </w:r>
      <w:r w:rsidRPr="00AD6347">
        <w:rPr>
          <w:rFonts w:ascii="Times New Roman" w:eastAsia="Times New Roman" w:hAnsi="Times New Roman" w:cs="Times New Roman"/>
          <w:b/>
          <w:noProof/>
          <w:sz w:val="24"/>
          <w:szCs w:val="24"/>
          <w:lang w:val="sr-Cyrl-CS" w:eastAsia="sr-Latn-CS"/>
        </w:rPr>
        <w:t>ДА НАСТАВНИКА</w:t>
      </w:r>
    </w:p>
    <w:p w14:paraId="607C79DE" w14:textId="77777777" w:rsidR="00AD6347" w:rsidRPr="00AD6347" w:rsidRDefault="00AD6347" w:rsidP="00AD6347">
      <w:pPr>
        <w:spacing w:after="0" w:line="240" w:lineRule="auto"/>
        <w:rPr>
          <w:rFonts w:ascii="Times New Roman" w:eastAsia="Times New Roman" w:hAnsi="Times New Roman" w:cs="Times New Roman"/>
          <w:b/>
          <w:noProof/>
          <w:sz w:val="24"/>
          <w:szCs w:val="24"/>
          <w:lang w:val="sr-Cyrl-CS" w:eastAsia="sr-Latn-CS"/>
        </w:rPr>
      </w:pPr>
    </w:p>
    <w:p w14:paraId="225C1B5B" w14:textId="77777777" w:rsidR="00AD6347" w:rsidRPr="00AD6347" w:rsidRDefault="00AD6347" w:rsidP="00AD6347">
      <w:pPr>
        <w:spacing w:after="0" w:line="240" w:lineRule="auto"/>
        <w:rPr>
          <w:rFonts w:ascii="Times New Roman" w:eastAsia="Times New Roman" w:hAnsi="Times New Roman" w:cs="Times New Roman"/>
          <w:b/>
          <w:noProof/>
          <w:sz w:val="24"/>
          <w:szCs w:val="24"/>
          <w:lang w:val="sr-Cyrl-CS" w:eastAsia="sr-Latn-CS"/>
        </w:rPr>
      </w:pPr>
    </w:p>
    <w:p w14:paraId="42924681" w14:textId="77777777" w:rsidR="00AD6347" w:rsidRPr="00AD6347" w:rsidRDefault="00AD6347" w:rsidP="00AD6347">
      <w:pPr>
        <w:spacing w:after="0" w:line="240" w:lineRule="auto"/>
        <w:rPr>
          <w:rFonts w:ascii="Times New Roman" w:eastAsia="Times New Roman" w:hAnsi="Times New Roman" w:cs="Times New Roman"/>
          <w:b/>
          <w:noProof/>
          <w:sz w:val="24"/>
          <w:szCs w:val="24"/>
          <w:lang w:val="sr-Cyrl-CS" w:eastAsia="sr-Latn-CS"/>
        </w:rPr>
      </w:pPr>
    </w:p>
    <w:p w14:paraId="00A7918B"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ОСНОВНЕ ОДРЕДБЕ</w:t>
      </w:r>
    </w:p>
    <w:p w14:paraId="37872A55"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576FD87E"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w:t>
      </w:r>
    </w:p>
    <w:p w14:paraId="78D1485D"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Правилником о студентском вредновању педагошког рада наставника и наставе (у даљем тексту: Правилник) уређује се: студентско вредновање педагошког рада наставника и наставе (у даљем тексту: вредновање) Универзитета у Београду – Филозофског факултета (у даљем тексту: Факултет), органи који спроводе вредновање, поступак вредновања, начин коришћења и чувања података прикупљених вредновањем и финансирање</w:t>
      </w:r>
      <w:r w:rsidRPr="00AD6347">
        <w:rPr>
          <w:rFonts w:ascii="Times New Roman" w:eastAsia="Times New Roman" w:hAnsi="Times New Roman" w:cs="Times New Roman"/>
          <w:noProof/>
          <w:sz w:val="24"/>
          <w:szCs w:val="24"/>
          <w:lang w:val="ru-RU" w:eastAsia="sr-Latn-CS"/>
        </w:rPr>
        <w:t xml:space="preserve"> </w:t>
      </w:r>
      <w:r w:rsidRPr="00AD6347">
        <w:rPr>
          <w:rFonts w:ascii="Times New Roman" w:eastAsia="Times New Roman" w:hAnsi="Times New Roman" w:cs="Times New Roman"/>
          <w:noProof/>
          <w:sz w:val="24"/>
          <w:szCs w:val="24"/>
          <w:lang w:val="sr-Cyrl-CS" w:eastAsia="sr-Latn-CS"/>
        </w:rPr>
        <w:t>вредновања на Факултету.</w:t>
      </w:r>
    </w:p>
    <w:p w14:paraId="0FD21BE3" w14:textId="77777777" w:rsidR="00AD6347" w:rsidRPr="00AD6347" w:rsidRDefault="00AD6347" w:rsidP="00AD6347">
      <w:pPr>
        <w:spacing w:after="0" w:line="240" w:lineRule="auto"/>
        <w:ind w:left="2880" w:firstLine="720"/>
        <w:jc w:val="both"/>
        <w:rPr>
          <w:rFonts w:ascii="Times New Roman" w:eastAsia="Times New Roman" w:hAnsi="Times New Roman" w:cs="Times New Roman"/>
          <w:noProof/>
          <w:sz w:val="24"/>
          <w:szCs w:val="24"/>
          <w:lang w:val="sr-Cyrl-CS" w:eastAsia="sr-Latn-CS"/>
        </w:rPr>
      </w:pPr>
    </w:p>
    <w:p w14:paraId="0A848FF0"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2.</w:t>
      </w:r>
    </w:p>
    <w:p w14:paraId="1A928DB5"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На Факултету се организује вредновање ради очувања и унапређивања квалитета и  ефикасности рада.</w:t>
      </w:r>
    </w:p>
    <w:p w14:paraId="03530FFB"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p>
    <w:p w14:paraId="2498BEA4"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3.</w:t>
      </w:r>
    </w:p>
    <w:p w14:paraId="12D664BD"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Вредновање се спроводи на крају наставе (предавања, вежби, праксе и других облика наставе утврђених студијским програмом),</w:t>
      </w:r>
      <w:r w:rsidRPr="00AD6347">
        <w:rPr>
          <w:rFonts w:ascii="Times New Roman" w:eastAsia="Times New Roman" w:hAnsi="Times New Roman" w:cs="Times New Roman"/>
          <w:noProof/>
          <w:sz w:val="24"/>
          <w:szCs w:val="24"/>
          <w:lang w:val="ru-RU" w:eastAsia="sr-Latn-CS"/>
        </w:rPr>
        <w:t xml:space="preserve"> </w:t>
      </w:r>
      <w:r w:rsidRPr="00AD6347">
        <w:rPr>
          <w:rFonts w:ascii="Times New Roman" w:eastAsia="Times New Roman" w:hAnsi="Times New Roman" w:cs="Times New Roman"/>
          <w:noProof/>
          <w:sz w:val="24"/>
          <w:szCs w:val="24"/>
          <w:lang w:val="sr-Cyrl-CS" w:eastAsia="sr-Latn-CS"/>
        </w:rPr>
        <w:t>обавезних и изборних предмета у</w:t>
      </w:r>
      <w:r w:rsidRPr="00AD6347">
        <w:rPr>
          <w:rFonts w:ascii="Times New Roman" w:eastAsia="Times New Roman" w:hAnsi="Times New Roman" w:cs="Times New Roman"/>
          <w:i/>
          <w:noProof/>
          <w:sz w:val="24"/>
          <w:szCs w:val="24"/>
          <w:lang w:val="sr-Cyrl-CS" w:eastAsia="sr-Latn-CS"/>
        </w:rPr>
        <w:t xml:space="preserve"> </w:t>
      </w:r>
      <w:r w:rsidRPr="00AD6347">
        <w:rPr>
          <w:rFonts w:ascii="Times New Roman" w:eastAsia="Times New Roman" w:hAnsi="Times New Roman" w:cs="Times New Roman"/>
          <w:noProof/>
          <w:sz w:val="24"/>
          <w:szCs w:val="24"/>
          <w:lang w:val="sr-Cyrl-CS" w:eastAsia="sr-Latn-CS"/>
        </w:rPr>
        <w:t xml:space="preserve"> семестру у којем се завршава рад наставника на предмету. Ако више од три наставника сукцесивно, у току једног семестра изводи наставу из једног предмета, са истом групом студената, неће се вршити индивидуално вредновање наставника, већ вредновање наставе одговарајућег предмета. Вредновање се обавља посебно за сваку групу студената у оквиру једног </w:t>
      </w:r>
      <w:r w:rsidRPr="00AD6347">
        <w:rPr>
          <w:rFonts w:ascii="Times New Roman" w:eastAsia="Times New Roman" w:hAnsi="Times New Roman" w:cs="Times New Roman"/>
          <w:noProof/>
          <w:sz w:val="24"/>
          <w:szCs w:val="24"/>
          <w:lang w:val="sr-Cyrl-CS" w:eastAsia="sr-Latn-CS"/>
        </w:rPr>
        <w:lastRenderedPageBreak/>
        <w:t>предмета, уколико се студенти деле у групе у оквиру једног предмета, за који се формира јединствена оцена вредновања рада појединачног наставника.</w:t>
      </w:r>
    </w:p>
    <w:p w14:paraId="1BE530D4" w14:textId="77777777" w:rsid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ab/>
        <w:t>Вредновање се спроводи сваке године, у редовном термину наставе, у семестру у коме се окончава настава из датог предмета.</w:t>
      </w:r>
    </w:p>
    <w:p w14:paraId="00996E84" w14:textId="77777777" w:rsid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1BBDA962" w14:textId="428EEFFC"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КОМИСИЈА ЗА СПРОВОЂЕЊЕ ВРЕДНОВАЊА</w:t>
      </w:r>
    </w:p>
    <w:p w14:paraId="5617DFFA" w14:textId="77777777" w:rsidR="00AD6347" w:rsidRPr="00AD6347" w:rsidRDefault="00AD6347" w:rsidP="00AD6347">
      <w:pPr>
        <w:spacing w:after="0" w:line="240" w:lineRule="auto"/>
        <w:jc w:val="both"/>
        <w:rPr>
          <w:rFonts w:ascii="Times New Roman" w:eastAsia="Times New Roman" w:hAnsi="Times New Roman" w:cs="Times New Roman"/>
          <w:b/>
          <w:noProof/>
          <w:sz w:val="24"/>
          <w:szCs w:val="24"/>
          <w:lang w:val="sr-Cyrl-CS" w:eastAsia="sr-Latn-CS"/>
        </w:rPr>
      </w:pPr>
    </w:p>
    <w:p w14:paraId="6CF86FAE"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4.</w:t>
      </w:r>
    </w:p>
    <w:p w14:paraId="11E15BB4"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Комисија за вредновање квалитета студијских програма, наставе и услова рада (у даљем тексту:</w:t>
      </w:r>
      <w:r w:rsidRPr="00AD6347">
        <w:rPr>
          <w:rFonts w:ascii="Times New Roman" w:eastAsia="Times New Roman" w:hAnsi="Times New Roman" w:cs="Times New Roman"/>
          <w:noProof/>
          <w:sz w:val="24"/>
          <w:szCs w:val="24"/>
          <w:lang w:val="ru-RU" w:eastAsia="sr-Latn-CS"/>
        </w:rPr>
        <w:t xml:space="preserve"> </w:t>
      </w:r>
      <w:r w:rsidRPr="00AD6347">
        <w:rPr>
          <w:rFonts w:ascii="Times New Roman" w:eastAsia="Times New Roman" w:hAnsi="Times New Roman" w:cs="Times New Roman"/>
          <w:noProof/>
          <w:sz w:val="24"/>
          <w:szCs w:val="24"/>
          <w:lang w:val="sr-Cyrl-CS" w:eastAsia="sr-Latn-CS"/>
        </w:rPr>
        <w:t>Комисија)  спроводи вредновање.</w:t>
      </w:r>
    </w:p>
    <w:p w14:paraId="0D87B4AD"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2A2B11BD"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5.</w:t>
      </w:r>
    </w:p>
    <w:p w14:paraId="51543EAD" w14:textId="77777777" w:rsidR="00AD6347" w:rsidRPr="00AD6347" w:rsidRDefault="00AD6347" w:rsidP="00AD6347">
      <w:pPr>
        <w:spacing w:after="0" w:line="240" w:lineRule="auto"/>
        <w:ind w:left="720" w:hanging="12"/>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Наставно-научно веће (у даљем тексту: Веће) образује Комисију.</w:t>
      </w:r>
    </w:p>
    <w:p w14:paraId="27F54379"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Комисија се састоји од по једног представника сваког одељења, једног представника наставних јединица, једног представника научних јединица, два представника студената које бира Студентски парламент и једног представника ненаставног особља који се бира на предлог декана.</w:t>
      </w:r>
    </w:p>
    <w:p w14:paraId="072A3D85" w14:textId="77777777" w:rsidR="00AD6347" w:rsidRPr="00AD6347" w:rsidRDefault="00AD6347" w:rsidP="00AD6347">
      <w:pPr>
        <w:spacing w:after="0" w:line="240" w:lineRule="auto"/>
        <w:ind w:left="360" w:firstLine="36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Комисија бира председника и заменика председника Комисије.</w:t>
      </w:r>
    </w:p>
    <w:p w14:paraId="7A86D282" w14:textId="77777777" w:rsidR="00AD6347" w:rsidRPr="00AD6347" w:rsidRDefault="00AD6347" w:rsidP="00AD6347">
      <w:pPr>
        <w:spacing w:after="0" w:line="240" w:lineRule="auto"/>
        <w:ind w:left="360" w:firstLine="360"/>
        <w:jc w:val="both"/>
        <w:rPr>
          <w:rFonts w:ascii="Times New Roman" w:eastAsia="Times New Roman" w:hAnsi="Times New Roman" w:cs="Times New Roman"/>
          <w:noProof/>
          <w:sz w:val="24"/>
          <w:szCs w:val="24"/>
          <w:lang w:val="sr-Cyrl-CS" w:eastAsia="sr-Latn-CS"/>
        </w:rPr>
      </w:pPr>
    </w:p>
    <w:p w14:paraId="2146B219"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6.</w:t>
      </w:r>
    </w:p>
    <w:p w14:paraId="302B4013"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Комисија одлучује о програму, обиму, садржају, времену и начину реализације поступка вредновања, на основу овог Правилника, а у складу са планираним средствима.</w:t>
      </w:r>
    </w:p>
    <w:p w14:paraId="0645EE53"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Комисија именује радну групу за разраду програма вредновања и спровођење поступка.</w:t>
      </w:r>
    </w:p>
    <w:p w14:paraId="43D49C53"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Предлог Програма спровођења вредновања обухвата број извршилаца, рокове спровођења и предлог буџета, за сваки семестар.</w:t>
      </w:r>
    </w:p>
    <w:p w14:paraId="4E7E0281"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p>
    <w:p w14:paraId="5332ED59"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63C84B0B" w14:textId="77777777" w:rsidR="00AD6347" w:rsidRPr="00AD6347" w:rsidRDefault="00AD6347" w:rsidP="00AD6347">
      <w:pPr>
        <w:spacing w:after="0" w:line="240" w:lineRule="auto"/>
        <w:ind w:left="-360" w:firstLine="360"/>
        <w:jc w:val="both"/>
        <w:rPr>
          <w:rFonts w:ascii="Times New Roman" w:eastAsia="Times New Roman" w:hAnsi="Times New Roman" w:cs="Times New Roman"/>
          <w:b/>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ПОСТУПАК ВРЕДНОВАЊА</w:t>
      </w:r>
    </w:p>
    <w:p w14:paraId="15F3CB6D"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44CFD3B0"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7.</w:t>
      </w:r>
    </w:p>
    <w:p w14:paraId="73F8DE87"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Комисија утврђује поступак реализације вредновања, процедуру обраде података и критеријуме за избор лица која ће реализовати вредновање, на предлог радне групе.</w:t>
      </w:r>
    </w:p>
    <w:p w14:paraId="2D7DC7D9"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Радна група подноси Комисији одговарајуће извештаје по обављеном вредновању.</w:t>
      </w:r>
    </w:p>
    <w:p w14:paraId="4D688B66"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ab/>
        <w:t>Вредновање се на основним академским студијама врши инструментима (образац 1 и образац 2) које прописује Универзитет у Београду (у даљем тексту: Универзитет), а на дипломским мастер и докторским студијама инструментима које на предлог Комисије усваја Веће.</w:t>
      </w:r>
    </w:p>
    <w:p w14:paraId="3EB8B167" w14:textId="77777777" w:rsidR="00AD6347" w:rsidRPr="00AD6347" w:rsidRDefault="00AD6347" w:rsidP="00AD6347">
      <w:pPr>
        <w:spacing w:after="0" w:line="240" w:lineRule="auto"/>
        <w:jc w:val="both"/>
        <w:rPr>
          <w:rFonts w:ascii="Times New Roman" w:eastAsia="Times New Roman" w:hAnsi="Times New Roman" w:cs="Times New Roman"/>
          <w:b/>
          <w:noProof/>
          <w:sz w:val="24"/>
          <w:szCs w:val="24"/>
          <w:lang w:val="sr-Cyrl-CS" w:eastAsia="sr-Latn-CS"/>
        </w:rPr>
      </w:pPr>
    </w:p>
    <w:p w14:paraId="4E7AA518"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8.</w:t>
      </w:r>
    </w:p>
    <w:p w14:paraId="521C5A0B"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Комисија је дужна да у року од 30 дана од почетка школске године именује радну групу и да донесе одлуку о програму, поступку и предмету вредновања.</w:t>
      </w:r>
    </w:p>
    <w:p w14:paraId="24B7270C"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xml:space="preserve">Комисија је дужна да у року од 45 дана од почетка семестра донесе одлуку о времену и начину реализације поступка вредновања. </w:t>
      </w:r>
    </w:p>
    <w:p w14:paraId="2161C30A"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Одлука из става 2. овог члана објављује се на огласној табли одељења.</w:t>
      </w:r>
    </w:p>
    <w:p w14:paraId="3E841BA4"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6D254794" w14:textId="77777777" w:rsidR="00AD6347" w:rsidRPr="00AD6347" w:rsidRDefault="00AD6347" w:rsidP="00AD6347">
      <w:pPr>
        <w:spacing w:after="0" w:line="240" w:lineRule="auto"/>
        <w:jc w:val="center"/>
        <w:rPr>
          <w:rFonts w:ascii="Times New Roman" w:eastAsia="Times New Roman" w:hAnsi="Times New Roman" w:cs="Times New Roman"/>
          <w:b/>
          <w:noProof/>
          <w:sz w:val="24"/>
          <w:szCs w:val="24"/>
          <w:lang w:val="sr-Cyrl-CS" w:eastAsia="sr-Latn-CS"/>
        </w:rPr>
      </w:pPr>
      <w:r w:rsidRPr="00AD6347">
        <w:rPr>
          <w:rFonts w:ascii="Times New Roman" w:eastAsia="Times New Roman" w:hAnsi="Times New Roman" w:cs="Times New Roman"/>
          <w:noProof/>
          <w:sz w:val="24"/>
          <w:szCs w:val="24"/>
          <w:lang w:val="sr-Cyrl-CS" w:eastAsia="sr-Latn-CS"/>
        </w:rPr>
        <w:lastRenderedPageBreak/>
        <w:t>Члан 9.</w:t>
      </w:r>
    </w:p>
    <w:p w14:paraId="4A37F346"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Радна група која спроводи вредновање, израђује појединачне извештаје, на обрасцу 2. (образац који прописује Универзитет) на крају наставе предмета као и на одговарајућим обрасцима прописаним инструментима које је усвојило Веће.</w:t>
      </w:r>
    </w:p>
    <w:p w14:paraId="5F7C9DAB"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xml:space="preserve">Појединачни извештај о педагошком раду наставника доставља радна група оном наставнику или сараднику који је вреднован. </w:t>
      </w:r>
    </w:p>
    <w:p w14:paraId="4AB98FC6" w14:textId="77777777" w:rsidR="00AD6347" w:rsidRPr="00AD6347" w:rsidRDefault="00AD6347" w:rsidP="00AD6347">
      <w:pPr>
        <w:spacing w:after="0" w:line="240" w:lineRule="auto"/>
        <w:jc w:val="center"/>
        <w:rPr>
          <w:rFonts w:ascii="Times New Roman" w:eastAsia="Times New Roman" w:hAnsi="Times New Roman" w:cs="Times New Roman"/>
          <w:b/>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10.</w:t>
      </w:r>
    </w:p>
    <w:p w14:paraId="4BCD72ED"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xml:space="preserve">Радна група која спроводи вредновање израђује за сваки семестар извештај који садржи: </w:t>
      </w:r>
    </w:p>
    <w:p w14:paraId="23BEB954" w14:textId="77777777" w:rsidR="00AD6347" w:rsidRPr="00AD6347" w:rsidRDefault="00AD6347" w:rsidP="00AD6347">
      <w:pPr>
        <w:numPr>
          <w:ilvl w:val="0"/>
          <w:numId w:val="1"/>
        </w:num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Општи део, који садржи следеће податке:</w:t>
      </w:r>
    </w:p>
    <w:p w14:paraId="66D88D13" w14:textId="77777777" w:rsidR="00AD6347" w:rsidRPr="00AD6347" w:rsidRDefault="00AD6347" w:rsidP="00AD6347">
      <w:pPr>
        <w:spacing w:after="0" w:line="240" w:lineRule="auto"/>
        <w:ind w:left="702" w:firstLine="708"/>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ко је одговоран за организацију и спровођење вредновања;</w:t>
      </w:r>
    </w:p>
    <w:p w14:paraId="1CA90FA2" w14:textId="77777777" w:rsidR="00AD6347" w:rsidRPr="00AD6347" w:rsidRDefault="00AD6347" w:rsidP="00AD6347">
      <w:pPr>
        <w:spacing w:after="0" w:line="240" w:lineRule="auto"/>
        <w:ind w:left="141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време када је извршено вредновање;</w:t>
      </w:r>
    </w:p>
    <w:p w14:paraId="1CC98BC0" w14:textId="77777777" w:rsidR="00AD6347" w:rsidRPr="00AD6347" w:rsidRDefault="00AD6347" w:rsidP="00AD6347">
      <w:pPr>
        <w:spacing w:after="0" w:line="240" w:lineRule="auto"/>
        <w:ind w:left="141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број наставника чији је рад вреднован са укупним бројем предмета и</w:t>
      </w:r>
    </w:p>
    <w:p w14:paraId="7B030CAE" w14:textId="77777777" w:rsidR="00AD6347" w:rsidRPr="00AD6347" w:rsidRDefault="00AD6347" w:rsidP="00AD6347">
      <w:pPr>
        <w:spacing w:after="0" w:line="240" w:lineRule="auto"/>
        <w:ind w:left="141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број наставника чији рад није вреднован, уз образложење.</w:t>
      </w:r>
    </w:p>
    <w:p w14:paraId="3F0A5770"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p>
    <w:p w14:paraId="0AC930A4"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2.</w:t>
      </w:r>
      <w:r w:rsidRPr="00AD6347">
        <w:rPr>
          <w:rFonts w:ascii="Times New Roman" w:eastAsia="Times New Roman" w:hAnsi="Times New Roman" w:cs="Times New Roman"/>
          <w:noProof/>
          <w:sz w:val="24"/>
          <w:szCs w:val="24"/>
          <w:lang w:val="sr-Cyrl-CS" w:eastAsia="sr-Latn-CS"/>
        </w:rPr>
        <w:tab/>
        <w:t xml:space="preserve">Посебни део, који садржи статистички приказ појединачних извештаја у оквиру Факултета.  </w:t>
      </w:r>
    </w:p>
    <w:p w14:paraId="635BCBF5"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Радна група доставља Извештај из става 1. овог члана Комисији која, уколико га прихвати, доставља Већу на усвајање.</w:t>
      </w:r>
    </w:p>
    <w:p w14:paraId="53AC61AD"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p>
    <w:p w14:paraId="172C045D" w14:textId="77777777" w:rsidR="00AD6347" w:rsidRPr="00AD6347" w:rsidRDefault="00AD6347" w:rsidP="00AD6347">
      <w:pPr>
        <w:spacing w:after="0" w:line="240" w:lineRule="auto"/>
        <w:jc w:val="center"/>
        <w:rPr>
          <w:rFonts w:ascii="Times New Roman" w:eastAsia="Times New Roman" w:hAnsi="Times New Roman" w:cs="Times New Roman"/>
          <w:b/>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11.</w:t>
      </w:r>
    </w:p>
    <w:p w14:paraId="0EB02773"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Радна група која спроводи вредновање израђује за школску годину извештај који садржи:</w:t>
      </w:r>
    </w:p>
    <w:p w14:paraId="16E61B15" w14:textId="77777777" w:rsidR="00AD6347" w:rsidRPr="00AD6347" w:rsidRDefault="00AD6347" w:rsidP="00AD6347">
      <w:pPr>
        <w:numPr>
          <w:ilvl w:val="0"/>
          <w:numId w:val="2"/>
        </w:num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Општи део, који садржи следеће податке:</w:t>
      </w:r>
    </w:p>
    <w:p w14:paraId="14A99FDE" w14:textId="77777777" w:rsidR="00AD6347" w:rsidRPr="00AD6347" w:rsidRDefault="00AD6347" w:rsidP="00AD6347">
      <w:pPr>
        <w:spacing w:after="0" w:line="240" w:lineRule="auto"/>
        <w:ind w:left="702" w:firstLine="708"/>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ко је одговоран за организацију и спровођење вредновања;</w:t>
      </w:r>
    </w:p>
    <w:p w14:paraId="4A66B3B5" w14:textId="77777777" w:rsidR="00AD6347" w:rsidRPr="00AD6347" w:rsidRDefault="00AD6347" w:rsidP="00AD6347">
      <w:pPr>
        <w:spacing w:after="0" w:line="240" w:lineRule="auto"/>
        <w:ind w:left="141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време када је извршено вредновање;</w:t>
      </w:r>
    </w:p>
    <w:p w14:paraId="6108F919" w14:textId="77777777" w:rsidR="00AD6347" w:rsidRPr="00AD6347" w:rsidRDefault="00AD6347" w:rsidP="00AD6347">
      <w:pPr>
        <w:spacing w:after="0" w:line="240" w:lineRule="auto"/>
        <w:ind w:left="141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број наставника чији је рад вреднован са укупним бројем предмета и</w:t>
      </w:r>
    </w:p>
    <w:p w14:paraId="304925D3" w14:textId="77777777" w:rsidR="00AD6347" w:rsidRPr="00AD6347" w:rsidRDefault="00AD6347" w:rsidP="00AD6347">
      <w:pPr>
        <w:spacing w:after="0" w:line="240" w:lineRule="auto"/>
        <w:ind w:left="141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број наставника чији рад није вреднован, уз образложење.</w:t>
      </w:r>
    </w:p>
    <w:p w14:paraId="013CDF28" w14:textId="77777777" w:rsidR="00AD6347" w:rsidRPr="00AD6347" w:rsidRDefault="00AD6347" w:rsidP="00AD6347">
      <w:pPr>
        <w:numPr>
          <w:ilvl w:val="0"/>
          <w:numId w:val="2"/>
        </w:num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Посебни део, који садржи статистички приказ појединачних извештаја у оквиру Факултета.</w:t>
      </w:r>
    </w:p>
    <w:p w14:paraId="1749AA4C"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ru-RU" w:eastAsia="sr-Latn-CS"/>
        </w:rPr>
      </w:pPr>
      <w:r w:rsidRPr="00AD6347">
        <w:rPr>
          <w:rFonts w:ascii="Times New Roman" w:eastAsia="Times New Roman" w:hAnsi="Times New Roman" w:cs="Times New Roman"/>
          <w:noProof/>
          <w:sz w:val="24"/>
          <w:szCs w:val="24"/>
          <w:lang w:val="sr-Cyrl-CS" w:eastAsia="sr-Latn-CS"/>
        </w:rPr>
        <w:t>Радна група доставља Извештај из става 1. овог члана Комисији која, уколико га прихвати, доставља Већу на усвајање.</w:t>
      </w:r>
    </w:p>
    <w:p w14:paraId="0016D1E6"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Одељења, Центар за ППМО и Кабинет за стране језике су дужни да размотре извештај из става 1. овог члана и да закључак о њему доставе декану, у року од 45 дана од дана достављања.</w:t>
      </w:r>
    </w:p>
    <w:p w14:paraId="067F0A96"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ru-RU" w:eastAsia="sr-Latn-CS"/>
        </w:rPr>
      </w:pPr>
    </w:p>
    <w:p w14:paraId="52C5C3CB" w14:textId="77777777" w:rsidR="00AD6347" w:rsidRPr="00AD6347" w:rsidRDefault="00AD6347" w:rsidP="00AD6347">
      <w:pPr>
        <w:spacing w:after="0" w:line="240" w:lineRule="auto"/>
        <w:ind w:left="-360" w:firstLine="360"/>
        <w:jc w:val="both"/>
        <w:rPr>
          <w:rFonts w:ascii="Times New Roman" w:eastAsia="Times New Roman" w:hAnsi="Times New Roman" w:cs="Times New Roman"/>
          <w:noProof/>
          <w:sz w:val="24"/>
          <w:szCs w:val="24"/>
          <w:lang w:val="sr-Cyrl-CS" w:eastAsia="sr-Latn-CS"/>
        </w:rPr>
      </w:pPr>
    </w:p>
    <w:p w14:paraId="07F52171" w14:textId="77777777" w:rsidR="00AD6347" w:rsidRPr="00AD6347" w:rsidRDefault="00AD6347" w:rsidP="00AD6347">
      <w:pPr>
        <w:spacing w:after="0" w:line="240" w:lineRule="auto"/>
        <w:ind w:left="-360" w:firstLine="36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НАЧИН КОРИШЋЕЊА ПОДАТАКА</w:t>
      </w:r>
    </w:p>
    <w:p w14:paraId="621097CF" w14:textId="77777777" w:rsidR="00AD6347" w:rsidRPr="00AD6347" w:rsidRDefault="00AD6347" w:rsidP="00AD6347">
      <w:pPr>
        <w:spacing w:after="0" w:line="240" w:lineRule="auto"/>
        <w:ind w:left="-360" w:firstLine="360"/>
        <w:jc w:val="both"/>
        <w:rPr>
          <w:rFonts w:ascii="Times New Roman" w:eastAsia="Times New Roman" w:hAnsi="Times New Roman" w:cs="Times New Roman"/>
          <w:noProof/>
          <w:sz w:val="24"/>
          <w:szCs w:val="24"/>
          <w:lang w:val="sr-Cyrl-CS" w:eastAsia="sr-Latn-CS"/>
        </w:rPr>
      </w:pPr>
    </w:p>
    <w:p w14:paraId="319CBD09" w14:textId="77777777" w:rsidR="00AD6347" w:rsidRPr="00AD6347" w:rsidRDefault="00AD6347" w:rsidP="00AD6347">
      <w:pPr>
        <w:spacing w:after="0" w:line="240" w:lineRule="auto"/>
        <w:jc w:val="center"/>
        <w:rPr>
          <w:rFonts w:ascii="Times New Roman" w:eastAsia="Times New Roman" w:hAnsi="Times New Roman" w:cs="Times New Roman"/>
          <w:b/>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12.</w:t>
      </w:r>
    </w:p>
    <w:p w14:paraId="650CDE21"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Декан има право и обавезу увида у све извештаје из члана 9, 10. и 11. овог Правилника и право да предузме одговарајуће мере.</w:t>
      </w:r>
    </w:p>
    <w:p w14:paraId="39B28C5A"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Декан упозорава наставнике који се, по мишљењу анкетираних студената, не придржавају плана рада на предмету или не постижу одговарајући квалитет предавања и вежби, да су анкетирани студенти тог мишљења.</w:t>
      </w:r>
    </w:p>
    <w:p w14:paraId="11BF35E9"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lastRenderedPageBreak/>
        <w:t>Према потреби, декан предузима одговарајуће мере и обезбеђује потребно усавршавање наставника.</w:t>
      </w:r>
    </w:p>
    <w:p w14:paraId="6F83DD9E"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30D9FC85"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13.</w:t>
      </w:r>
    </w:p>
    <w:p w14:paraId="35B9598D" w14:textId="77777777" w:rsidR="00AD6347" w:rsidRPr="00AD6347" w:rsidRDefault="00AD6347" w:rsidP="00AD6347">
      <w:pPr>
        <w:spacing w:after="0" w:line="240" w:lineRule="auto"/>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ab/>
        <w:t>Подаци до којих се дође у поступку вредновања су службена тајна.</w:t>
      </w:r>
    </w:p>
    <w:p w14:paraId="22AD4AE5"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ab/>
        <w:t>За чување података из става 1. овог члана одговоран је руководилац радне групе Комисије до подношења извештаја и предаје анкетног материјала на архивирање.</w:t>
      </w:r>
    </w:p>
    <w:p w14:paraId="6D1EF068"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ab/>
        <w:t>Повреда тајности података из става 1. овог члана је повреда радне обавезе запосленог који учествује у поступку вредновања и тежа дисциплинска повреда од стране студента</w:t>
      </w:r>
      <w:r w:rsidRPr="00AD6347">
        <w:rPr>
          <w:rFonts w:ascii="Times New Roman" w:eastAsia="Times New Roman" w:hAnsi="Times New Roman" w:cs="Times New Roman"/>
          <w:noProof/>
          <w:sz w:val="24"/>
          <w:szCs w:val="24"/>
          <w:lang w:val="ru-RU" w:eastAsia="sr-Latn-CS"/>
        </w:rPr>
        <w:t>-</w:t>
      </w:r>
      <w:r w:rsidRPr="00AD6347">
        <w:rPr>
          <w:rFonts w:ascii="Times New Roman" w:eastAsia="Times New Roman" w:hAnsi="Times New Roman" w:cs="Times New Roman"/>
          <w:noProof/>
          <w:sz w:val="24"/>
          <w:szCs w:val="24"/>
          <w:lang w:eastAsia="sr-Latn-CS"/>
        </w:rPr>
        <w:t>a</w:t>
      </w:r>
      <w:r w:rsidRPr="00AD6347">
        <w:rPr>
          <w:rFonts w:ascii="Times New Roman" w:eastAsia="Times New Roman" w:hAnsi="Times New Roman" w:cs="Times New Roman"/>
          <w:noProof/>
          <w:sz w:val="24"/>
          <w:szCs w:val="24"/>
          <w:lang w:val="sr-Cyrl-CS" w:eastAsia="sr-Latn-CS"/>
        </w:rPr>
        <w:t>нкетара.</w:t>
      </w:r>
    </w:p>
    <w:p w14:paraId="56F9AEFB" w14:textId="77777777" w:rsidR="00AD6347" w:rsidRPr="00AD6347" w:rsidRDefault="00AD6347" w:rsidP="00AD6347">
      <w:pPr>
        <w:spacing w:after="0" w:line="240" w:lineRule="auto"/>
        <w:ind w:left="-360" w:firstLine="360"/>
        <w:jc w:val="both"/>
        <w:rPr>
          <w:rFonts w:ascii="Times New Roman" w:eastAsia="Times New Roman" w:hAnsi="Times New Roman" w:cs="Times New Roman"/>
          <w:noProof/>
          <w:sz w:val="24"/>
          <w:szCs w:val="24"/>
          <w:lang w:val="ru-RU" w:eastAsia="sr-Latn-CS"/>
        </w:rPr>
      </w:pPr>
    </w:p>
    <w:p w14:paraId="43BAADEC" w14:textId="77777777" w:rsidR="00AD6347" w:rsidRPr="00AD6347" w:rsidRDefault="00AD6347" w:rsidP="00AD6347">
      <w:pPr>
        <w:spacing w:after="0" w:line="240" w:lineRule="auto"/>
        <w:ind w:left="-360" w:firstLine="36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НАЧИН ЧУВАЊА ПОДАТАКА</w:t>
      </w:r>
    </w:p>
    <w:p w14:paraId="6BAF0F4C"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35EACB46"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14.</w:t>
      </w:r>
    </w:p>
    <w:p w14:paraId="0B850F3B"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Базе података и извештаји чувају се трајно на за то прописаном месту.</w:t>
      </w:r>
    </w:p>
    <w:p w14:paraId="0AA5F2E6"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Анкетни материјал се чува у Архиви Факултета, пет година.</w:t>
      </w:r>
    </w:p>
    <w:p w14:paraId="1B641854"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 xml:space="preserve">За трајно чување базе података, извештаја и анкетног материјала одговоран је Декан. </w:t>
      </w:r>
    </w:p>
    <w:p w14:paraId="6A061FE3"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Декан је обавезан, да на захтев Комисије, стави Комисији на располагање базе података и све извештаје из члана 9, 10. и 11. овог Правилника.</w:t>
      </w:r>
    </w:p>
    <w:p w14:paraId="08022B59"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ab/>
        <w:t>Декан је обавезан да на захтев Комисије за припрему извештаја о кандидатима за избор у звање, достави на располагање све појединачне извештаје о педагошком раду наставника на овим Правилником прописиним обрасцима, ради спровођења избора у звања наставника и сарадника у складу са прописаним условима за избор у звање.</w:t>
      </w:r>
    </w:p>
    <w:p w14:paraId="5645ADAD"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4A24B677"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7D78CD4A"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ФИНАНСИРАЊЕ ПОСЛОВА ВРЕДНОВАЊА</w:t>
      </w:r>
    </w:p>
    <w:p w14:paraId="1E689CD3"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2E5517C1"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15.</w:t>
      </w:r>
    </w:p>
    <w:p w14:paraId="117D1D6F"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Вредновање финансира Факултет на терет наменски добијених средстава или средстава општих трошкова рада Факултета.</w:t>
      </w:r>
    </w:p>
    <w:p w14:paraId="07DEE865" w14:textId="77777777" w:rsidR="00AD6347" w:rsidRPr="00AD6347" w:rsidRDefault="00AD6347" w:rsidP="00AD6347">
      <w:pPr>
        <w:spacing w:after="0" w:line="240" w:lineRule="auto"/>
        <w:ind w:left="2880" w:firstLine="720"/>
        <w:jc w:val="both"/>
        <w:rPr>
          <w:rFonts w:ascii="Times New Roman" w:eastAsia="Times New Roman" w:hAnsi="Times New Roman" w:cs="Times New Roman"/>
          <w:noProof/>
          <w:sz w:val="24"/>
          <w:szCs w:val="24"/>
          <w:lang w:val="sr-Cyrl-CS" w:eastAsia="sr-Latn-CS"/>
        </w:rPr>
      </w:pPr>
    </w:p>
    <w:p w14:paraId="0D861F98"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16.</w:t>
      </w:r>
    </w:p>
    <w:p w14:paraId="6D76C6D5"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ab/>
        <w:t>Декан се обавезује да планира и обезбеди средства неопходна за вредновање и да контролише наменско коришћење одобрених средстава.</w:t>
      </w:r>
    </w:p>
    <w:p w14:paraId="00B6D790" w14:textId="77777777" w:rsidR="00AD6347" w:rsidRPr="00AD6347" w:rsidRDefault="00AD6347" w:rsidP="00AD6347">
      <w:pPr>
        <w:spacing w:after="0" w:line="240" w:lineRule="auto"/>
        <w:ind w:left="2880" w:firstLine="720"/>
        <w:jc w:val="both"/>
        <w:rPr>
          <w:rFonts w:ascii="Times New Roman" w:eastAsia="Times New Roman" w:hAnsi="Times New Roman" w:cs="Times New Roman"/>
          <w:noProof/>
          <w:sz w:val="24"/>
          <w:szCs w:val="24"/>
          <w:lang w:val="sr-Cyrl-CS" w:eastAsia="sr-Latn-CS"/>
        </w:rPr>
      </w:pPr>
    </w:p>
    <w:p w14:paraId="01785E4C" w14:textId="77777777" w:rsidR="00AD6347" w:rsidRPr="00AD6347" w:rsidRDefault="00AD6347" w:rsidP="00AD6347">
      <w:pPr>
        <w:spacing w:after="0" w:line="240" w:lineRule="auto"/>
        <w:ind w:left="2880" w:firstLine="720"/>
        <w:jc w:val="both"/>
        <w:rPr>
          <w:rFonts w:ascii="Times New Roman" w:eastAsia="Times New Roman" w:hAnsi="Times New Roman" w:cs="Times New Roman"/>
          <w:noProof/>
          <w:sz w:val="24"/>
          <w:szCs w:val="24"/>
          <w:lang w:val="sr-Cyrl-CS" w:eastAsia="sr-Latn-CS"/>
        </w:rPr>
      </w:pPr>
    </w:p>
    <w:p w14:paraId="01C638D2"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ЗАВРШНЕ ОДРЕДБЕ</w:t>
      </w:r>
    </w:p>
    <w:p w14:paraId="2C7E7989"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0B09528A"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17.</w:t>
      </w:r>
    </w:p>
    <w:p w14:paraId="7FB0235D"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ab/>
        <w:t>Даном ступања на снагу овог Правилника, престаје да важи Правилник о вредновању студирања, наставе и управљања, донет на седници Већа, 10.07.2003. године 05/5-02 бр. 927/</w:t>
      </w:r>
      <w:r w:rsidRPr="00AD6347">
        <w:rPr>
          <w:rFonts w:ascii="Times New Roman" w:eastAsia="Times New Roman" w:hAnsi="Times New Roman" w:cs="Times New Roman"/>
          <w:noProof/>
          <w:sz w:val="24"/>
          <w:szCs w:val="24"/>
          <w:lang w:val="sr-Latn-CS" w:eastAsia="sr-Latn-CS"/>
        </w:rPr>
        <w:t>IX</w:t>
      </w:r>
      <w:r w:rsidRPr="00AD6347">
        <w:rPr>
          <w:rFonts w:ascii="Times New Roman" w:eastAsia="Times New Roman" w:hAnsi="Times New Roman" w:cs="Times New Roman"/>
          <w:noProof/>
          <w:sz w:val="24"/>
          <w:szCs w:val="24"/>
          <w:lang w:val="sr-Cyrl-CS" w:eastAsia="sr-Latn-CS"/>
        </w:rPr>
        <w:t>/1а.</w:t>
      </w:r>
    </w:p>
    <w:p w14:paraId="23499F92"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5A7B7662" w14:textId="77777777" w:rsidR="00AD6347" w:rsidRPr="00AD6347" w:rsidRDefault="00AD6347" w:rsidP="00AD6347">
      <w:pPr>
        <w:spacing w:after="0" w:line="240" w:lineRule="auto"/>
        <w:jc w:val="center"/>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Члан 18.</w:t>
      </w:r>
    </w:p>
    <w:p w14:paraId="4D797F58" w14:textId="77777777" w:rsidR="00AD6347" w:rsidRPr="00AD6347" w:rsidRDefault="00AD6347" w:rsidP="00AD6347">
      <w:pPr>
        <w:spacing w:after="0" w:line="240" w:lineRule="auto"/>
        <w:ind w:firstLine="720"/>
        <w:jc w:val="both"/>
        <w:rPr>
          <w:rFonts w:ascii="Times New Roman" w:eastAsia="Times New Roman" w:hAnsi="Times New Roman" w:cs="Times New Roman"/>
          <w:noProof/>
          <w:sz w:val="24"/>
          <w:szCs w:val="24"/>
          <w:lang w:val="sr-Cyrl-CS" w:eastAsia="sr-Latn-CS"/>
        </w:rPr>
      </w:pPr>
      <w:r w:rsidRPr="00AD6347">
        <w:rPr>
          <w:rFonts w:ascii="Times New Roman" w:eastAsia="Times New Roman" w:hAnsi="Times New Roman" w:cs="Times New Roman"/>
          <w:noProof/>
          <w:sz w:val="24"/>
          <w:szCs w:val="24"/>
          <w:lang w:val="sr-Cyrl-CS" w:eastAsia="sr-Latn-CS"/>
        </w:rPr>
        <w:t>Овај Правилник ступа на снагу осмог дана од дана објављивања на огласној табли Факултета.</w:t>
      </w:r>
    </w:p>
    <w:p w14:paraId="49172278"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179224B9"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p w14:paraId="5C97797D"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Cyrl-CS" w:eastAsia="sr-Latn-CS"/>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44"/>
        <w:gridCol w:w="4644"/>
      </w:tblGrid>
      <w:tr w:rsidR="00AD6347" w:rsidRPr="00AD6347" w14:paraId="7396AEE4" w14:textId="77777777" w:rsidTr="00AD6347">
        <w:tc>
          <w:tcPr>
            <w:tcW w:w="4644" w:type="dxa"/>
          </w:tcPr>
          <w:p w14:paraId="3A1C97A9" w14:textId="77777777" w:rsidR="00AD6347" w:rsidRPr="00AD6347" w:rsidRDefault="00AD6347" w:rsidP="00AD6347">
            <w:pPr>
              <w:jc w:val="both"/>
              <w:rPr>
                <w:noProof/>
                <w:sz w:val="24"/>
                <w:szCs w:val="24"/>
                <w:lang w:val="sr-Cyrl-CS" w:eastAsia="sr-Latn-CS"/>
              </w:rPr>
            </w:pPr>
            <w:r w:rsidRPr="00AD6347">
              <w:rPr>
                <w:noProof/>
                <w:sz w:val="24"/>
                <w:szCs w:val="24"/>
                <w:lang w:val="sr-Latn-CS" w:eastAsia="sr-Latn-CS"/>
              </w:rPr>
              <w:t xml:space="preserve">- </w:t>
            </w:r>
            <w:r w:rsidRPr="00AD6347">
              <w:rPr>
                <w:noProof/>
                <w:sz w:val="24"/>
                <w:szCs w:val="24"/>
                <w:lang w:val="sr-Cyrl-CS" w:eastAsia="sr-Latn-CS"/>
              </w:rPr>
              <w:t>Обрављено на огласној табли</w:t>
            </w:r>
          </w:p>
          <w:p w14:paraId="75F313C5" w14:textId="77777777" w:rsidR="00AD6347" w:rsidRPr="00AD6347" w:rsidRDefault="00AD6347" w:rsidP="00AD6347">
            <w:pPr>
              <w:jc w:val="both"/>
              <w:rPr>
                <w:noProof/>
                <w:sz w:val="24"/>
                <w:szCs w:val="24"/>
                <w:lang w:val="sr-Cyrl-CS" w:eastAsia="sr-Latn-CS"/>
              </w:rPr>
            </w:pPr>
            <w:r w:rsidRPr="00AD6347">
              <w:rPr>
                <w:noProof/>
                <w:sz w:val="24"/>
                <w:szCs w:val="24"/>
                <w:lang w:val="sr-Cyrl-CS" w:eastAsia="sr-Latn-CS"/>
              </w:rPr>
              <w:t xml:space="preserve">  Факултета________________године</w:t>
            </w:r>
          </w:p>
          <w:p w14:paraId="094A638E" w14:textId="77777777" w:rsidR="00AD6347" w:rsidRPr="00AD6347" w:rsidRDefault="00AD6347" w:rsidP="00AD6347">
            <w:pPr>
              <w:jc w:val="both"/>
              <w:rPr>
                <w:noProof/>
                <w:sz w:val="24"/>
                <w:szCs w:val="24"/>
                <w:lang w:val="sr-Cyrl-CS" w:eastAsia="sr-Latn-CS"/>
              </w:rPr>
            </w:pPr>
            <w:r w:rsidRPr="00AD6347">
              <w:rPr>
                <w:noProof/>
                <w:sz w:val="24"/>
                <w:szCs w:val="24"/>
                <w:lang w:val="sr-Cyrl-CS" w:eastAsia="sr-Latn-CS"/>
              </w:rPr>
              <w:t>- Правилник ступа на</w:t>
            </w:r>
          </w:p>
          <w:p w14:paraId="05DA0326" w14:textId="77777777" w:rsidR="00AD6347" w:rsidRPr="00AD6347" w:rsidRDefault="00AD6347" w:rsidP="00AD6347">
            <w:pPr>
              <w:jc w:val="both"/>
              <w:rPr>
                <w:noProof/>
                <w:sz w:val="24"/>
                <w:szCs w:val="24"/>
                <w:lang w:val="sr-Cyrl-CS" w:eastAsia="sr-Latn-CS"/>
              </w:rPr>
            </w:pPr>
            <w:r w:rsidRPr="00AD6347">
              <w:rPr>
                <w:noProof/>
                <w:sz w:val="24"/>
                <w:szCs w:val="24"/>
                <w:lang w:val="sr-Cyrl-CS" w:eastAsia="sr-Latn-CS"/>
              </w:rPr>
              <w:t xml:space="preserve">  снагу___________________ године</w:t>
            </w:r>
          </w:p>
          <w:p w14:paraId="17B78400" w14:textId="77777777" w:rsidR="00AD6347" w:rsidRPr="00AD6347" w:rsidRDefault="00AD6347" w:rsidP="00AD6347">
            <w:pPr>
              <w:jc w:val="both"/>
              <w:rPr>
                <w:noProof/>
                <w:sz w:val="24"/>
                <w:szCs w:val="24"/>
                <w:lang w:val="sr-Latn-CS" w:eastAsia="sr-Latn-CS"/>
              </w:rPr>
            </w:pPr>
          </w:p>
        </w:tc>
        <w:tc>
          <w:tcPr>
            <w:tcW w:w="4644" w:type="dxa"/>
          </w:tcPr>
          <w:p w14:paraId="764FBA81" w14:textId="77777777" w:rsidR="00AD6347" w:rsidRPr="00AD6347" w:rsidRDefault="00AD6347" w:rsidP="00AD6347">
            <w:pPr>
              <w:jc w:val="center"/>
              <w:rPr>
                <w:noProof/>
                <w:sz w:val="24"/>
                <w:szCs w:val="24"/>
                <w:lang w:val="sr-Cyrl-CS" w:eastAsia="sr-Latn-CS"/>
              </w:rPr>
            </w:pPr>
          </w:p>
          <w:p w14:paraId="6BB2E424" w14:textId="77777777" w:rsidR="00AD6347" w:rsidRPr="00AD6347" w:rsidRDefault="00AD6347" w:rsidP="00AD6347">
            <w:pPr>
              <w:jc w:val="center"/>
              <w:rPr>
                <w:noProof/>
                <w:sz w:val="24"/>
                <w:szCs w:val="24"/>
                <w:lang w:val="sr-Cyrl-CS" w:eastAsia="sr-Latn-CS"/>
              </w:rPr>
            </w:pPr>
            <w:r w:rsidRPr="00AD6347">
              <w:rPr>
                <w:noProof/>
                <w:sz w:val="24"/>
                <w:szCs w:val="24"/>
                <w:lang w:val="sr-Cyrl-CS" w:eastAsia="sr-Latn-CS"/>
              </w:rPr>
              <w:t>Проф. др Александар Костић</w:t>
            </w:r>
          </w:p>
          <w:p w14:paraId="48E72DE4" w14:textId="77777777" w:rsidR="00AD6347" w:rsidRPr="00AD6347" w:rsidRDefault="00AD6347" w:rsidP="00AD6347">
            <w:pPr>
              <w:jc w:val="center"/>
              <w:rPr>
                <w:noProof/>
                <w:sz w:val="24"/>
                <w:szCs w:val="24"/>
                <w:lang w:val="sr-Cyrl-CS" w:eastAsia="sr-Latn-CS"/>
              </w:rPr>
            </w:pPr>
            <w:r w:rsidRPr="00AD6347">
              <w:rPr>
                <w:noProof/>
                <w:sz w:val="24"/>
                <w:szCs w:val="24"/>
                <w:lang w:val="sr-Cyrl-CS" w:eastAsia="sr-Latn-CS"/>
              </w:rPr>
              <w:t>Председник Наставно-научног већа</w:t>
            </w:r>
          </w:p>
          <w:p w14:paraId="67D8648F" w14:textId="77777777" w:rsidR="00AD6347" w:rsidRPr="00AD6347" w:rsidRDefault="00AD6347" w:rsidP="00AD6347">
            <w:pPr>
              <w:jc w:val="center"/>
              <w:rPr>
                <w:noProof/>
                <w:sz w:val="24"/>
                <w:szCs w:val="24"/>
                <w:lang w:val="sr-Latn-CS" w:eastAsia="sr-Latn-CS"/>
              </w:rPr>
            </w:pPr>
            <w:r w:rsidRPr="00AD6347">
              <w:rPr>
                <w:noProof/>
                <w:sz w:val="24"/>
                <w:szCs w:val="24"/>
                <w:lang w:val="sr-Cyrl-CS" w:eastAsia="sr-Latn-CS"/>
              </w:rPr>
              <w:t>Филозофског факултета</w:t>
            </w:r>
          </w:p>
        </w:tc>
      </w:tr>
    </w:tbl>
    <w:p w14:paraId="76C06513"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Latn-CS" w:eastAsia="sr-Latn-CS"/>
        </w:rPr>
      </w:pPr>
    </w:p>
    <w:p w14:paraId="4DF27AAB"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sr-Latn-CS" w:eastAsia="sr-Latn-CS"/>
        </w:rPr>
      </w:pPr>
    </w:p>
    <w:p w14:paraId="6A58DA32" w14:textId="77777777" w:rsidR="00AD6347" w:rsidRPr="00AD6347" w:rsidRDefault="00AD6347" w:rsidP="00AD6347">
      <w:pPr>
        <w:spacing w:after="0" w:line="240" w:lineRule="auto"/>
        <w:jc w:val="both"/>
        <w:rPr>
          <w:rFonts w:ascii="Times New Roman" w:eastAsia="Times New Roman" w:hAnsi="Times New Roman" w:cs="Times New Roman"/>
          <w:noProof/>
          <w:sz w:val="24"/>
          <w:szCs w:val="24"/>
          <w:lang w:val="ru-RU" w:eastAsia="sr-Latn-CS"/>
        </w:rPr>
      </w:pPr>
    </w:p>
    <w:p w14:paraId="6DB79577" w14:textId="77777777" w:rsidR="00AD6347" w:rsidRPr="00AD6347" w:rsidRDefault="00AD6347" w:rsidP="00AD6347">
      <w:pPr>
        <w:spacing w:after="0" w:line="240" w:lineRule="auto"/>
        <w:rPr>
          <w:rFonts w:ascii="Times New Roman" w:eastAsia="Times New Roman" w:hAnsi="Times New Roman" w:cs="Times New Roman"/>
          <w:noProof/>
          <w:sz w:val="24"/>
          <w:szCs w:val="24"/>
          <w:lang w:val="sr-Cyrl-CS" w:eastAsia="sr-Latn-CS"/>
        </w:rPr>
      </w:pPr>
    </w:p>
    <w:p w14:paraId="755D4578" w14:textId="77777777" w:rsidR="00AD6347" w:rsidRPr="00AD6347" w:rsidRDefault="00AD6347">
      <w:pPr>
        <w:rPr>
          <w:rFonts w:ascii="Times New Roman" w:hAnsi="Times New Roman" w:cs="Times New Roman"/>
          <w:sz w:val="24"/>
          <w:szCs w:val="24"/>
          <w:lang w:val="sr-Cyrl-RS"/>
        </w:rPr>
      </w:pPr>
    </w:p>
    <w:sectPr w:rsidR="00AD6347" w:rsidRPr="00AD634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C07F8"/>
    <w:multiLevelType w:val="hybridMultilevel"/>
    <w:tmpl w:val="C0228DA4"/>
    <w:lvl w:ilvl="0" w:tplc="FBC2C55A">
      <w:start w:val="1"/>
      <w:numFmt w:val="decimal"/>
      <w:lvlText w:val="%1."/>
      <w:lvlJc w:val="left"/>
      <w:pPr>
        <w:tabs>
          <w:tab w:val="num" w:pos="1080"/>
        </w:tabs>
        <w:ind w:left="1080" w:hanging="360"/>
      </w:pPr>
    </w:lvl>
    <w:lvl w:ilvl="1" w:tplc="081A0019">
      <w:start w:val="1"/>
      <w:numFmt w:val="lowerLetter"/>
      <w:lvlText w:val="%2."/>
      <w:lvlJc w:val="left"/>
      <w:pPr>
        <w:tabs>
          <w:tab w:val="num" w:pos="1800"/>
        </w:tabs>
        <w:ind w:left="1800" w:hanging="360"/>
      </w:pPr>
    </w:lvl>
    <w:lvl w:ilvl="2" w:tplc="081A001B">
      <w:start w:val="1"/>
      <w:numFmt w:val="lowerRoman"/>
      <w:lvlText w:val="%3."/>
      <w:lvlJc w:val="right"/>
      <w:pPr>
        <w:tabs>
          <w:tab w:val="num" w:pos="2520"/>
        </w:tabs>
        <w:ind w:left="2520" w:hanging="180"/>
      </w:pPr>
    </w:lvl>
    <w:lvl w:ilvl="3" w:tplc="081A000F">
      <w:start w:val="1"/>
      <w:numFmt w:val="decimal"/>
      <w:lvlText w:val="%4."/>
      <w:lvlJc w:val="left"/>
      <w:pPr>
        <w:tabs>
          <w:tab w:val="num" w:pos="3240"/>
        </w:tabs>
        <w:ind w:left="3240" w:hanging="360"/>
      </w:pPr>
    </w:lvl>
    <w:lvl w:ilvl="4" w:tplc="081A0019">
      <w:start w:val="1"/>
      <w:numFmt w:val="lowerLetter"/>
      <w:lvlText w:val="%5."/>
      <w:lvlJc w:val="left"/>
      <w:pPr>
        <w:tabs>
          <w:tab w:val="num" w:pos="3960"/>
        </w:tabs>
        <w:ind w:left="3960" w:hanging="360"/>
      </w:pPr>
    </w:lvl>
    <w:lvl w:ilvl="5" w:tplc="081A001B">
      <w:start w:val="1"/>
      <w:numFmt w:val="lowerRoman"/>
      <w:lvlText w:val="%6."/>
      <w:lvlJc w:val="right"/>
      <w:pPr>
        <w:tabs>
          <w:tab w:val="num" w:pos="4680"/>
        </w:tabs>
        <w:ind w:left="4680" w:hanging="180"/>
      </w:pPr>
    </w:lvl>
    <w:lvl w:ilvl="6" w:tplc="081A000F">
      <w:start w:val="1"/>
      <w:numFmt w:val="decimal"/>
      <w:lvlText w:val="%7."/>
      <w:lvlJc w:val="left"/>
      <w:pPr>
        <w:tabs>
          <w:tab w:val="num" w:pos="5400"/>
        </w:tabs>
        <w:ind w:left="5400" w:hanging="360"/>
      </w:pPr>
    </w:lvl>
    <w:lvl w:ilvl="7" w:tplc="081A0019">
      <w:start w:val="1"/>
      <w:numFmt w:val="lowerLetter"/>
      <w:lvlText w:val="%8."/>
      <w:lvlJc w:val="left"/>
      <w:pPr>
        <w:tabs>
          <w:tab w:val="num" w:pos="6120"/>
        </w:tabs>
        <w:ind w:left="6120" w:hanging="360"/>
      </w:pPr>
    </w:lvl>
    <w:lvl w:ilvl="8" w:tplc="081A001B">
      <w:start w:val="1"/>
      <w:numFmt w:val="lowerRoman"/>
      <w:lvlText w:val="%9."/>
      <w:lvlJc w:val="right"/>
      <w:pPr>
        <w:tabs>
          <w:tab w:val="num" w:pos="6840"/>
        </w:tabs>
        <w:ind w:left="6840" w:hanging="180"/>
      </w:pPr>
    </w:lvl>
  </w:abstractNum>
  <w:abstractNum w:abstractNumId="1" w15:restartNumberingAfterBreak="0">
    <w:nsid w:val="0F153A0C"/>
    <w:multiLevelType w:val="hybridMultilevel"/>
    <w:tmpl w:val="0714E34E"/>
    <w:lvl w:ilvl="0" w:tplc="4250822A">
      <w:start w:val="1"/>
      <w:numFmt w:val="decimal"/>
      <w:lvlText w:val="%1."/>
      <w:lvlJc w:val="left"/>
      <w:pPr>
        <w:tabs>
          <w:tab w:val="num" w:pos="1410"/>
        </w:tabs>
        <w:ind w:left="1410" w:hanging="690"/>
      </w:pPr>
    </w:lvl>
    <w:lvl w:ilvl="1" w:tplc="081A0019">
      <w:start w:val="1"/>
      <w:numFmt w:val="lowerLetter"/>
      <w:lvlText w:val="%2."/>
      <w:lvlJc w:val="left"/>
      <w:pPr>
        <w:tabs>
          <w:tab w:val="num" w:pos="1800"/>
        </w:tabs>
        <w:ind w:left="1800" w:hanging="360"/>
      </w:pPr>
    </w:lvl>
    <w:lvl w:ilvl="2" w:tplc="081A001B">
      <w:start w:val="1"/>
      <w:numFmt w:val="lowerRoman"/>
      <w:lvlText w:val="%3."/>
      <w:lvlJc w:val="right"/>
      <w:pPr>
        <w:tabs>
          <w:tab w:val="num" w:pos="2520"/>
        </w:tabs>
        <w:ind w:left="2520" w:hanging="180"/>
      </w:pPr>
    </w:lvl>
    <w:lvl w:ilvl="3" w:tplc="081A000F">
      <w:start w:val="1"/>
      <w:numFmt w:val="decimal"/>
      <w:lvlText w:val="%4."/>
      <w:lvlJc w:val="left"/>
      <w:pPr>
        <w:tabs>
          <w:tab w:val="num" w:pos="3240"/>
        </w:tabs>
        <w:ind w:left="3240" w:hanging="360"/>
      </w:pPr>
    </w:lvl>
    <w:lvl w:ilvl="4" w:tplc="081A0019">
      <w:start w:val="1"/>
      <w:numFmt w:val="lowerLetter"/>
      <w:lvlText w:val="%5."/>
      <w:lvlJc w:val="left"/>
      <w:pPr>
        <w:tabs>
          <w:tab w:val="num" w:pos="3960"/>
        </w:tabs>
        <w:ind w:left="3960" w:hanging="360"/>
      </w:pPr>
    </w:lvl>
    <w:lvl w:ilvl="5" w:tplc="081A001B">
      <w:start w:val="1"/>
      <w:numFmt w:val="lowerRoman"/>
      <w:lvlText w:val="%6."/>
      <w:lvlJc w:val="right"/>
      <w:pPr>
        <w:tabs>
          <w:tab w:val="num" w:pos="4680"/>
        </w:tabs>
        <w:ind w:left="4680" w:hanging="180"/>
      </w:pPr>
    </w:lvl>
    <w:lvl w:ilvl="6" w:tplc="081A000F">
      <w:start w:val="1"/>
      <w:numFmt w:val="decimal"/>
      <w:lvlText w:val="%7."/>
      <w:lvlJc w:val="left"/>
      <w:pPr>
        <w:tabs>
          <w:tab w:val="num" w:pos="5400"/>
        </w:tabs>
        <w:ind w:left="5400" w:hanging="360"/>
      </w:pPr>
    </w:lvl>
    <w:lvl w:ilvl="7" w:tplc="081A0019">
      <w:start w:val="1"/>
      <w:numFmt w:val="lowerLetter"/>
      <w:lvlText w:val="%8."/>
      <w:lvlJc w:val="left"/>
      <w:pPr>
        <w:tabs>
          <w:tab w:val="num" w:pos="6120"/>
        </w:tabs>
        <w:ind w:left="6120" w:hanging="360"/>
      </w:pPr>
    </w:lvl>
    <w:lvl w:ilvl="8" w:tplc="081A001B">
      <w:start w:val="1"/>
      <w:numFmt w:val="lowerRoman"/>
      <w:lvlText w:val="%9."/>
      <w:lvlJc w:val="right"/>
      <w:pPr>
        <w:tabs>
          <w:tab w:val="num" w:pos="6840"/>
        </w:tabs>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347"/>
    <w:rsid w:val="00793F1D"/>
    <w:rsid w:val="00AD6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079E7"/>
  <w15:chartTrackingRefBased/>
  <w15:docId w15:val="{E0E96DF1-14DA-4845-B1E5-3FDED1921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63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6347"/>
    <w:rPr>
      <w:rFonts w:ascii="Segoe UI" w:hAnsi="Segoe UI" w:cs="Segoe UI"/>
      <w:sz w:val="18"/>
      <w:szCs w:val="18"/>
    </w:rPr>
  </w:style>
  <w:style w:type="table" w:styleId="TableGrid">
    <w:name w:val="Table Grid"/>
    <w:basedOn w:val="TableNormal"/>
    <w:rsid w:val="00AD6347"/>
    <w:pPr>
      <w:spacing w:after="0" w:line="240" w:lineRule="auto"/>
    </w:pPr>
    <w:rPr>
      <w:rFonts w:ascii="Times New Roman" w:eastAsia="Times New Roman" w:hAnsi="Times New Roman" w:cs="Times New Roman"/>
      <w:sz w:val="20"/>
      <w:szCs w:val="20"/>
      <w:lang w:val="sr-Latn-RS" w:eastAsia="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421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1152</Words>
  <Characters>6568</Characters>
  <Application>Microsoft Office Word</Application>
  <DocSecurity>0</DocSecurity>
  <Lines>54</Lines>
  <Paragraphs>15</Paragraphs>
  <ScaleCrop>false</ScaleCrop>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Mica</dc:creator>
  <cp:keywords/>
  <dc:description/>
  <cp:lastModifiedBy>Mica</cp:lastModifiedBy>
  <cp:revision>1</cp:revision>
  <dcterms:created xsi:type="dcterms:W3CDTF">2020-10-14T08:34:00Z</dcterms:created>
  <dcterms:modified xsi:type="dcterms:W3CDTF">2020-10-14T08:37:00Z</dcterms:modified>
</cp:coreProperties>
</file>